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5B128" w14:textId="77777777" w:rsidR="003B5151" w:rsidRPr="0076052F" w:rsidRDefault="003B5151" w:rsidP="003B5151">
      <w:pPr>
        <w:spacing w:before="120"/>
        <w:rPr>
          <w:noProof/>
          <w:lang w:val="af-ZA"/>
        </w:rPr>
      </w:pPr>
      <w:r w:rsidRPr="0076052F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F20E51E" wp14:editId="0C028EE9">
            <wp:simplePos x="0" y="0"/>
            <wp:positionH relativeFrom="column">
              <wp:posOffset>3980815</wp:posOffset>
            </wp:positionH>
            <wp:positionV relativeFrom="paragraph">
              <wp:posOffset>132715</wp:posOffset>
            </wp:positionV>
            <wp:extent cx="1988185" cy="871855"/>
            <wp:effectExtent l="0" t="0" r="0" b="4445"/>
            <wp:wrapNone/>
            <wp:docPr id="11" name="Picture 11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ap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9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EA15F0" w14:textId="77777777" w:rsidR="003B5151" w:rsidRPr="0076052F" w:rsidRDefault="003B5151" w:rsidP="003B5151">
      <w:pPr>
        <w:rPr>
          <w:noProof/>
          <w:lang w:val="af-ZA"/>
        </w:rPr>
      </w:pPr>
      <w:r w:rsidRPr="0076052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314068" wp14:editId="5180C5B9">
            <wp:simplePos x="0" y="0"/>
            <wp:positionH relativeFrom="column">
              <wp:posOffset>2014855</wp:posOffset>
            </wp:positionH>
            <wp:positionV relativeFrom="paragraph">
              <wp:posOffset>18533</wp:posOffset>
            </wp:positionV>
            <wp:extent cx="1880592" cy="61912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I logotip_boja_vec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9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52F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42E3248" wp14:editId="0B4BD976">
            <wp:simplePos x="0" y="0"/>
            <wp:positionH relativeFrom="column">
              <wp:posOffset>633730</wp:posOffset>
            </wp:positionH>
            <wp:positionV relativeFrom="paragraph">
              <wp:posOffset>17356</wp:posOffset>
            </wp:positionV>
            <wp:extent cx="1150993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_hig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9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859D2" w14:textId="77777777" w:rsidR="003B5151" w:rsidRPr="0076052F" w:rsidRDefault="003B5151" w:rsidP="003B5151">
      <w:pPr>
        <w:tabs>
          <w:tab w:val="left" w:pos="3930"/>
        </w:tabs>
        <w:rPr>
          <w:noProof/>
          <w:lang w:val="af-ZA"/>
        </w:rPr>
      </w:pPr>
      <w:r w:rsidRPr="0076052F">
        <w:rPr>
          <w:noProof/>
          <w:lang w:val="af-ZA"/>
        </w:rPr>
        <w:tab/>
      </w:r>
    </w:p>
    <w:p w14:paraId="1F7AD1FD" w14:textId="77777777" w:rsidR="003B5151" w:rsidRPr="0076052F" w:rsidRDefault="003B5151" w:rsidP="003B5151">
      <w:pPr>
        <w:ind w:left="426"/>
        <w:jc w:val="right"/>
        <w:rPr>
          <w:noProof/>
          <w:lang w:val="af-ZA"/>
        </w:rPr>
      </w:pPr>
    </w:p>
    <w:p w14:paraId="45D6A4C3" w14:textId="77777777" w:rsidR="003B5151" w:rsidRPr="0076052F" w:rsidRDefault="003B5151" w:rsidP="003B5151">
      <w:pPr>
        <w:spacing w:after="0"/>
        <w:ind w:firstLine="708"/>
        <w:rPr>
          <w:noProof/>
          <w:lang w:val="af-ZA"/>
        </w:rPr>
      </w:pPr>
      <w:r w:rsidRPr="0076052F">
        <w:rPr>
          <w:noProof/>
          <w:lang w:val="af-ZA"/>
        </w:rPr>
        <w:t xml:space="preserve">           Europska unija</w:t>
      </w:r>
      <w:r w:rsidRPr="0076052F">
        <w:rPr>
          <w:noProof/>
          <w:lang w:val="af-ZA"/>
        </w:rPr>
        <w:tab/>
      </w:r>
      <w:r w:rsidRPr="0076052F">
        <w:rPr>
          <w:noProof/>
          <w:lang w:val="af-ZA"/>
        </w:rPr>
        <w:tab/>
      </w:r>
      <w:r w:rsidRPr="0076052F">
        <w:rPr>
          <w:noProof/>
          <w:lang w:val="af-ZA"/>
        </w:rPr>
        <w:tab/>
      </w:r>
      <w:r w:rsidRPr="0076052F">
        <w:rPr>
          <w:noProof/>
          <w:lang w:val="af-ZA"/>
        </w:rPr>
        <w:tab/>
      </w:r>
    </w:p>
    <w:p w14:paraId="567B9C1D" w14:textId="77777777" w:rsidR="003B5151" w:rsidRPr="0076052F" w:rsidRDefault="003B5151" w:rsidP="003B5151">
      <w:pPr>
        <w:spacing w:after="0"/>
        <w:ind w:firstLine="708"/>
        <w:rPr>
          <w:noProof/>
          <w:lang w:val="af-ZA"/>
        </w:rPr>
      </w:pPr>
      <w:r w:rsidRPr="0076052F">
        <w:rPr>
          <w:noProof/>
          <w:lang w:val="af-ZA"/>
        </w:rPr>
        <w:t xml:space="preserve">   Zajedno do fondova EU</w:t>
      </w:r>
    </w:p>
    <w:p w14:paraId="7CBB8B26" w14:textId="77777777" w:rsidR="00025E38" w:rsidRDefault="00025E38" w:rsidP="00DA24D4">
      <w:pPr>
        <w:spacing w:before="120" w:after="0"/>
        <w:jc w:val="center"/>
        <w:rPr>
          <w:b/>
        </w:rPr>
      </w:pPr>
    </w:p>
    <w:p w14:paraId="20AC1688" w14:textId="680E2FAC" w:rsidR="000717CB" w:rsidRDefault="00010117" w:rsidP="000717C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spellStart"/>
      <w:r w:rsidRPr="00010117">
        <w:rPr>
          <w:b/>
        </w:rPr>
        <w:t>BioReact</w:t>
      </w:r>
      <w:proofErr w:type="spellEnd"/>
      <w:r w:rsidRPr="00010117">
        <w:rPr>
          <w:b/>
        </w:rPr>
        <w:t xml:space="preserve"> – ulaganje u povećanje kapaciteta te zelenu i digitalnu tranziciju tvrtke </w:t>
      </w:r>
      <w:proofErr w:type="spellStart"/>
      <w:r w:rsidRPr="00010117">
        <w:rPr>
          <w:b/>
        </w:rPr>
        <w:t>BioGnost</w:t>
      </w:r>
      <w:proofErr w:type="spellEnd"/>
    </w:p>
    <w:p w14:paraId="0347D545" w14:textId="77777777" w:rsidR="00010117" w:rsidRDefault="00010117" w:rsidP="00071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00298FE0" w14:textId="1B254D8E" w:rsidR="000717CB" w:rsidRPr="000717CB" w:rsidRDefault="00010117" w:rsidP="00071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10117">
        <w:rPr>
          <w:rFonts w:ascii="Calibri" w:hAnsi="Calibri" w:cs="Calibri"/>
          <w:b/>
        </w:rPr>
        <w:t>KK.11.1.1.01.0316</w:t>
      </w:r>
    </w:p>
    <w:p w14:paraId="7223F66F" w14:textId="77777777" w:rsidR="00D56EC8" w:rsidRPr="00DA24D4" w:rsidRDefault="00D56EC8" w:rsidP="00D56EC8">
      <w:pPr>
        <w:spacing w:after="0"/>
        <w:jc w:val="center"/>
        <w:rPr>
          <w:b/>
          <w:highlight w:val="yellow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38" w:rsidRPr="0080393B" w14:paraId="4C8A8956" w14:textId="77777777" w:rsidTr="00FA45B8">
        <w:tc>
          <w:tcPr>
            <w:tcW w:w="9062" w:type="dxa"/>
            <w:tcBorders>
              <w:top w:val="single" w:sz="8" w:space="0" w:color="auto"/>
            </w:tcBorders>
          </w:tcPr>
          <w:p w14:paraId="3DD5C244" w14:textId="77777777" w:rsidR="00025E38" w:rsidRPr="0080393B" w:rsidRDefault="00025E38" w:rsidP="00FA45B8">
            <w:pPr>
              <w:jc w:val="both"/>
            </w:pPr>
          </w:p>
        </w:tc>
      </w:tr>
    </w:tbl>
    <w:p w14:paraId="628763F8" w14:textId="6F9138BF" w:rsidR="000717CB" w:rsidRPr="007B36D7" w:rsidRDefault="00025E38" w:rsidP="00D56EC8">
      <w:pPr>
        <w:spacing w:after="0" w:line="240" w:lineRule="auto"/>
        <w:jc w:val="both"/>
        <w:rPr>
          <w:rFonts w:ascii="Calibri" w:hAnsi="Calibri" w:cs="Times New Roman"/>
          <w:bCs/>
          <w:color w:val="262626" w:themeColor="text1" w:themeTint="D9"/>
        </w:rPr>
      </w:pPr>
      <w:r w:rsidRPr="0080393B">
        <w:rPr>
          <w:rFonts w:ascii="Calibri" w:hAnsi="Calibri" w:cs="Times New Roman"/>
          <w:b/>
          <w:bCs/>
          <w:color w:val="262626" w:themeColor="text1" w:themeTint="D9"/>
        </w:rPr>
        <w:t xml:space="preserve">Nositelj projekta: </w:t>
      </w:r>
      <w:r w:rsidRPr="0080393B">
        <w:rPr>
          <w:rFonts w:ascii="Calibri" w:hAnsi="Calibri" w:cs="Times New Roman"/>
          <w:b/>
          <w:bCs/>
          <w:color w:val="262626" w:themeColor="text1" w:themeTint="D9"/>
        </w:rPr>
        <w:tab/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proofErr w:type="spellStart"/>
      <w:r w:rsidR="007B36D7">
        <w:rPr>
          <w:rFonts w:ascii="Calibri" w:hAnsi="Calibri" w:cs="Times New Roman"/>
          <w:bCs/>
          <w:color w:val="262626" w:themeColor="text1" w:themeTint="D9"/>
        </w:rPr>
        <w:t>BioGnost</w:t>
      </w:r>
      <w:proofErr w:type="spellEnd"/>
      <w:r w:rsidR="00D56EC8">
        <w:rPr>
          <w:rFonts w:ascii="Calibri" w:hAnsi="Calibri" w:cs="Times New Roman"/>
          <w:bCs/>
          <w:color w:val="262626" w:themeColor="text1" w:themeTint="D9"/>
        </w:rPr>
        <w:t xml:space="preserve"> d.o.o.</w:t>
      </w:r>
    </w:p>
    <w:p w14:paraId="5EC0B603" w14:textId="04C48A35" w:rsidR="00025E38" w:rsidRPr="0080393B" w:rsidRDefault="00025E38" w:rsidP="00025E38">
      <w:pPr>
        <w:spacing w:after="0" w:line="240" w:lineRule="auto"/>
        <w:jc w:val="both"/>
        <w:rPr>
          <w:rFonts w:ascii="Calibri" w:hAnsi="Calibri" w:cs="Times New Roman"/>
          <w:bCs/>
          <w:color w:val="262626" w:themeColor="text1" w:themeTint="D9"/>
        </w:rPr>
      </w:pPr>
      <w:r w:rsidRPr="0080393B">
        <w:rPr>
          <w:rFonts w:ascii="Calibri" w:hAnsi="Calibri" w:cs="Times New Roman"/>
          <w:b/>
          <w:bCs/>
          <w:color w:val="262626" w:themeColor="text1" w:themeTint="D9"/>
        </w:rPr>
        <w:t>Ukupna vrijednost projekta: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 </w:t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r w:rsidR="00010117" w:rsidRPr="00010117">
        <w:rPr>
          <w:rFonts w:ascii="Calibri" w:hAnsi="Calibri" w:cs="Times New Roman"/>
          <w:bCs/>
          <w:color w:val="262626" w:themeColor="text1" w:themeTint="D9"/>
        </w:rPr>
        <w:t xml:space="preserve">21.271.918,03 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kn </w:t>
      </w:r>
    </w:p>
    <w:p w14:paraId="2213775E" w14:textId="07B28E81" w:rsidR="00025E38" w:rsidRPr="0080393B" w:rsidRDefault="00025E38" w:rsidP="00025E38">
      <w:pPr>
        <w:spacing w:after="0" w:line="240" w:lineRule="auto"/>
        <w:jc w:val="both"/>
        <w:rPr>
          <w:rFonts w:ascii="Calibri" w:hAnsi="Calibri" w:cs="Times New Roman"/>
          <w:bCs/>
          <w:color w:val="262626" w:themeColor="text1" w:themeTint="D9"/>
        </w:rPr>
      </w:pPr>
      <w:r w:rsidRPr="0080393B">
        <w:rPr>
          <w:rFonts w:ascii="Calibri" w:hAnsi="Calibri" w:cs="Times New Roman"/>
          <w:b/>
          <w:bCs/>
          <w:color w:val="262626" w:themeColor="text1" w:themeTint="D9"/>
        </w:rPr>
        <w:t>EU udio u financiranju projekta</w:t>
      </w:r>
      <w:r w:rsidRPr="0080393B">
        <w:rPr>
          <w:rFonts w:ascii="Calibri" w:hAnsi="Calibri" w:cs="Times New Roman"/>
          <w:bCs/>
          <w:color w:val="262626" w:themeColor="text1" w:themeTint="D9"/>
        </w:rPr>
        <w:t>:</w:t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r w:rsidR="00010117" w:rsidRPr="00010117">
        <w:rPr>
          <w:rFonts w:ascii="Calibri" w:hAnsi="Calibri" w:cs="Times New Roman"/>
          <w:bCs/>
          <w:color w:val="262626" w:themeColor="text1" w:themeTint="D9"/>
        </w:rPr>
        <w:t>7.479.920,00</w:t>
      </w:r>
      <w:r w:rsidR="00010117">
        <w:rPr>
          <w:rFonts w:ascii="Calibri" w:hAnsi="Calibri" w:cs="Times New Roman"/>
          <w:bCs/>
          <w:color w:val="262626" w:themeColor="text1" w:themeTint="D9"/>
        </w:rPr>
        <w:t xml:space="preserve"> </w:t>
      </w:r>
      <w:r w:rsidRPr="0080393B">
        <w:rPr>
          <w:rFonts w:ascii="Calibri" w:hAnsi="Calibri" w:cs="Times New Roman"/>
          <w:bCs/>
          <w:color w:val="262626" w:themeColor="text1" w:themeTint="D9"/>
        </w:rPr>
        <w:t>kn</w:t>
      </w:r>
    </w:p>
    <w:p w14:paraId="5FD728AA" w14:textId="052C3E2C" w:rsidR="00025E38" w:rsidRPr="0080393B" w:rsidRDefault="00025E38" w:rsidP="00025E38">
      <w:pPr>
        <w:spacing w:after="0" w:line="240" w:lineRule="auto"/>
        <w:jc w:val="both"/>
        <w:rPr>
          <w:rFonts w:ascii="Calibri" w:hAnsi="Calibri" w:cs="Times New Roman"/>
          <w:bCs/>
          <w:color w:val="262626" w:themeColor="text1" w:themeTint="D9"/>
        </w:rPr>
      </w:pPr>
      <w:r w:rsidRPr="0080393B">
        <w:rPr>
          <w:rFonts w:ascii="Calibri" w:hAnsi="Calibri" w:cs="Times New Roman"/>
          <w:b/>
          <w:bCs/>
          <w:color w:val="262626" w:themeColor="text1" w:themeTint="D9"/>
        </w:rPr>
        <w:t>Razdoblje provedbe</w:t>
      </w:r>
      <w:r w:rsidR="001416C9">
        <w:rPr>
          <w:rFonts w:ascii="Calibri" w:hAnsi="Calibri" w:cs="Times New Roman"/>
          <w:b/>
          <w:bCs/>
          <w:color w:val="262626" w:themeColor="text1" w:themeTint="D9"/>
        </w:rPr>
        <w:t xml:space="preserve"> projekta</w:t>
      </w:r>
      <w:r w:rsidRPr="0080393B">
        <w:rPr>
          <w:rFonts w:ascii="Calibri" w:hAnsi="Calibri" w:cs="Times New Roman"/>
          <w:b/>
          <w:bCs/>
          <w:color w:val="262626" w:themeColor="text1" w:themeTint="D9"/>
        </w:rPr>
        <w:t xml:space="preserve">: </w:t>
      </w:r>
      <w:r w:rsidRPr="0080393B">
        <w:rPr>
          <w:rFonts w:ascii="Calibri" w:hAnsi="Calibri" w:cs="Times New Roman"/>
          <w:b/>
          <w:bCs/>
          <w:color w:val="262626" w:themeColor="text1" w:themeTint="D9"/>
        </w:rPr>
        <w:tab/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r w:rsidR="00B06943">
        <w:rPr>
          <w:rFonts w:ascii="Calibri" w:hAnsi="Calibri" w:cs="Times New Roman"/>
          <w:bCs/>
          <w:color w:val="262626" w:themeColor="text1" w:themeTint="D9"/>
        </w:rPr>
        <w:t>30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. </w:t>
      </w:r>
      <w:r w:rsidR="00B06943">
        <w:rPr>
          <w:rFonts w:ascii="Calibri" w:hAnsi="Calibri" w:cs="Times New Roman"/>
          <w:bCs/>
          <w:color w:val="262626" w:themeColor="text1" w:themeTint="D9"/>
        </w:rPr>
        <w:t>lipnja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 20</w:t>
      </w:r>
      <w:r w:rsidR="00D65164">
        <w:rPr>
          <w:rFonts w:ascii="Calibri" w:hAnsi="Calibri" w:cs="Times New Roman"/>
          <w:bCs/>
          <w:color w:val="262626" w:themeColor="text1" w:themeTint="D9"/>
        </w:rPr>
        <w:t>2</w:t>
      </w:r>
      <w:r w:rsidR="00B06943">
        <w:rPr>
          <w:rFonts w:ascii="Calibri" w:hAnsi="Calibri" w:cs="Times New Roman"/>
          <w:bCs/>
          <w:color w:val="262626" w:themeColor="text1" w:themeTint="D9"/>
        </w:rPr>
        <w:t>1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. – </w:t>
      </w:r>
      <w:r w:rsidR="00B06943">
        <w:rPr>
          <w:rFonts w:ascii="Calibri" w:hAnsi="Calibri" w:cs="Times New Roman"/>
          <w:bCs/>
          <w:color w:val="262626" w:themeColor="text1" w:themeTint="D9"/>
        </w:rPr>
        <w:t>30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. </w:t>
      </w:r>
      <w:r w:rsidR="00B06943">
        <w:rPr>
          <w:rFonts w:ascii="Calibri" w:hAnsi="Calibri" w:cs="Times New Roman"/>
          <w:bCs/>
          <w:color w:val="262626" w:themeColor="text1" w:themeTint="D9"/>
        </w:rPr>
        <w:t>rujna</w:t>
      </w:r>
      <w:r w:rsidRPr="0080393B">
        <w:rPr>
          <w:rFonts w:ascii="Calibri" w:hAnsi="Calibri" w:cs="Times New Roman"/>
          <w:bCs/>
          <w:color w:val="262626" w:themeColor="text1" w:themeTint="D9"/>
        </w:rPr>
        <w:t xml:space="preserve"> 202</w:t>
      </w:r>
      <w:r w:rsidR="00B06943">
        <w:rPr>
          <w:rFonts w:ascii="Calibri" w:hAnsi="Calibri" w:cs="Times New Roman"/>
          <w:bCs/>
          <w:color w:val="262626" w:themeColor="text1" w:themeTint="D9"/>
        </w:rPr>
        <w:t>3</w:t>
      </w:r>
      <w:r w:rsidRPr="0080393B">
        <w:rPr>
          <w:rFonts w:ascii="Calibri" w:hAnsi="Calibri" w:cs="Times New Roman"/>
          <w:bCs/>
          <w:color w:val="262626" w:themeColor="text1" w:themeTint="D9"/>
        </w:rPr>
        <w:t>.</w:t>
      </w:r>
    </w:p>
    <w:p w14:paraId="5C3FE197" w14:textId="49A0A150" w:rsidR="00025E38" w:rsidRPr="0080393B" w:rsidRDefault="00025E38" w:rsidP="00025E38">
      <w:pPr>
        <w:spacing w:after="0" w:line="240" w:lineRule="auto"/>
        <w:ind w:left="3540" w:hanging="3540"/>
        <w:jc w:val="both"/>
        <w:rPr>
          <w:rFonts w:ascii="Calibri" w:hAnsi="Calibri" w:cs="Times New Roman"/>
          <w:bCs/>
          <w:color w:val="262626" w:themeColor="text1" w:themeTint="D9"/>
        </w:rPr>
      </w:pPr>
      <w:r w:rsidRPr="0080393B">
        <w:rPr>
          <w:rFonts w:ascii="Calibri" w:hAnsi="Calibri" w:cs="Times New Roman"/>
          <w:b/>
          <w:bCs/>
          <w:color w:val="262626" w:themeColor="text1" w:themeTint="D9"/>
        </w:rPr>
        <w:t>Voditelj projekta i kontakt osoba:</w:t>
      </w:r>
      <w:r w:rsidRPr="0080393B">
        <w:rPr>
          <w:rFonts w:ascii="Calibri" w:hAnsi="Calibri" w:cs="Times New Roman"/>
          <w:bCs/>
          <w:color w:val="262626" w:themeColor="text1" w:themeTint="D9"/>
        </w:rPr>
        <w:tab/>
      </w:r>
      <w:r w:rsidR="00010117">
        <w:rPr>
          <w:rFonts w:ascii="Calibri" w:hAnsi="Calibri" w:cs="Times New Roman"/>
          <w:bCs/>
          <w:color w:val="262626" w:themeColor="text1" w:themeTint="D9"/>
        </w:rPr>
        <w:t xml:space="preserve">Ivan </w:t>
      </w:r>
      <w:r w:rsidR="00010117" w:rsidRPr="00010117">
        <w:rPr>
          <w:rFonts w:ascii="Calibri" w:hAnsi="Calibri" w:cs="Times New Roman"/>
          <w:bCs/>
          <w:color w:val="262626" w:themeColor="text1" w:themeTint="D9"/>
        </w:rPr>
        <w:t>Marchiotti</w:t>
      </w:r>
    </w:p>
    <w:p w14:paraId="19BE43E9" w14:textId="77777777" w:rsidR="00025E38" w:rsidRPr="00DA24D4" w:rsidRDefault="00025E38" w:rsidP="00025E38">
      <w:pPr>
        <w:pBdr>
          <w:bottom w:val="single" w:sz="6" w:space="1" w:color="auto"/>
        </w:pBdr>
        <w:spacing w:after="0" w:line="240" w:lineRule="auto"/>
        <w:jc w:val="both"/>
        <w:rPr>
          <w:rFonts w:ascii="Calibri" w:hAnsi="Calibri" w:cs="Times New Roman"/>
          <w:b/>
          <w:highlight w:val="yellow"/>
        </w:rPr>
      </w:pPr>
    </w:p>
    <w:p w14:paraId="7045D7D6" w14:textId="77777777" w:rsidR="00FF2908" w:rsidRDefault="00FF2908" w:rsidP="00025E38">
      <w:pPr>
        <w:spacing w:before="120" w:after="0"/>
        <w:jc w:val="both"/>
      </w:pPr>
    </w:p>
    <w:p w14:paraId="54776BEC" w14:textId="3A942BD3" w:rsidR="00592637" w:rsidRPr="0052351E" w:rsidRDefault="00881107" w:rsidP="00482B1E">
      <w:pPr>
        <w:autoSpaceDE w:val="0"/>
        <w:autoSpaceDN w:val="0"/>
        <w:adjustRightInd w:val="0"/>
        <w:spacing w:after="0" w:line="240" w:lineRule="auto"/>
        <w:jc w:val="both"/>
      </w:pPr>
      <w:r w:rsidRPr="0052351E">
        <w:t xml:space="preserve">Tvrtka </w:t>
      </w:r>
      <w:proofErr w:type="spellStart"/>
      <w:r w:rsidR="00482B1E" w:rsidRPr="0052351E">
        <w:t>BioGnost</w:t>
      </w:r>
      <w:proofErr w:type="spellEnd"/>
      <w:r w:rsidR="00DC25D0" w:rsidRPr="0052351E">
        <w:t xml:space="preserve"> d.</w:t>
      </w:r>
      <w:r w:rsidR="00DA24D4" w:rsidRPr="0052351E">
        <w:t>o.o</w:t>
      </w:r>
      <w:r w:rsidR="00DC25D0" w:rsidRPr="0052351E">
        <w:t>.</w:t>
      </w:r>
      <w:r w:rsidRPr="0052351E">
        <w:t xml:space="preserve"> je </w:t>
      </w:r>
      <w:r w:rsidR="00592637" w:rsidRPr="0052351E">
        <w:t>krajem</w:t>
      </w:r>
      <w:r w:rsidR="00DA24D4" w:rsidRPr="0052351E">
        <w:t xml:space="preserve"> </w:t>
      </w:r>
      <w:r w:rsidR="00592637" w:rsidRPr="0052351E">
        <w:t>lipnja</w:t>
      </w:r>
      <w:r w:rsidR="00DA24D4" w:rsidRPr="0052351E">
        <w:t xml:space="preserve"> </w:t>
      </w:r>
      <w:r w:rsidR="00DC25D0" w:rsidRPr="0052351E">
        <w:t>20</w:t>
      </w:r>
      <w:r w:rsidR="00B65E6D" w:rsidRPr="0052351E">
        <w:t>2</w:t>
      </w:r>
      <w:r w:rsidR="00592637" w:rsidRPr="0052351E">
        <w:t>1</w:t>
      </w:r>
      <w:r w:rsidR="00423BA7" w:rsidRPr="0052351E">
        <w:t>.</w:t>
      </w:r>
      <w:r w:rsidRPr="0052351E">
        <w:t xml:space="preserve"> godine</w:t>
      </w:r>
      <w:r w:rsidR="00B65E6D" w:rsidRPr="0052351E">
        <w:t xml:space="preserve"> </w:t>
      </w:r>
      <w:r w:rsidR="00423BA7" w:rsidRPr="0052351E">
        <w:t xml:space="preserve">započela s provedbom projekta </w:t>
      </w:r>
      <w:r w:rsidRPr="0052351E">
        <w:t>“</w:t>
      </w:r>
      <w:r w:rsidR="00592637" w:rsidRPr="0052351E">
        <w:t xml:space="preserve"> </w:t>
      </w:r>
      <w:proofErr w:type="spellStart"/>
      <w:r w:rsidR="00592637" w:rsidRPr="0052351E">
        <w:t>BioReact</w:t>
      </w:r>
      <w:proofErr w:type="spellEnd"/>
      <w:r w:rsidR="00592637" w:rsidRPr="0052351E">
        <w:t xml:space="preserve"> – ulaganje u povećanje kapaciteta te zelenu i digitalnu tranziciju tvrtke </w:t>
      </w:r>
      <w:proofErr w:type="spellStart"/>
      <w:r w:rsidR="00592637" w:rsidRPr="0052351E">
        <w:t>BioGnost</w:t>
      </w:r>
      <w:proofErr w:type="spellEnd"/>
      <w:r w:rsidR="00592637" w:rsidRPr="0052351E">
        <w:t>“</w:t>
      </w:r>
      <w:r w:rsidR="005B25AA" w:rsidRPr="0052351E">
        <w:t xml:space="preserve"> koji je sufinanciran sredstvima iz instrumenta Pomoć za oporavak za koheziju i europska područja „REACT-EU“. Projekt će se provoditi sukladno pravilima u okviru Javnog poziva na dostavu projektnog prijedloga za dodjelu bespovratnih sredstava „Jačanje konkurentnosti poduzeća ulaganjima u digitalnu i zelenu tranziciju“</w:t>
      </w:r>
      <w:r w:rsidR="00450A32" w:rsidRPr="0052351E">
        <w:t xml:space="preserve"> te podliježe propisima primjenjivim na upravljanje i korištenje sredstava temeljem Operativnog programa konkurentnost i kohezija 2014. – 2020. </w:t>
      </w:r>
      <w:r w:rsidR="0052351E" w:rsidRPr="0052351E">
        <w:t>Posredničko tijelo razine 1 (PT1) je Ministarstvo gospodarstva i održivog razvoja, a posredničko tijelo razine 2 (PT2) je Hrvatska agencija za malo gospodarstvo, inovacije i investicije (HAMAG-BICRO).</w:t>
      </w:r>
    </w:p>
    <w:p w14:paraId="41D7BD93" w14:textId="7C0BF851" w:rsidR="0029659C" w:rsidRPr="0080393B" w:rsidRDefault="00863B56" w:rsidP="00FF2908">
      <w:pPr>
        <w:spacing w:before="240" w:after="0"/>
        <w:jc w:val="both"/>
      </w:pPr>
      <w:r w:rsidRPr="0080393B">
        <w:t xml:space="preserve">Projekt čine </w:t>
      </w:r>
      <w:r w:rsidR="006213CE" w:rsidRPr="0080393B">
        <w:t>sljedeć</w:t>
      </w:r>
      <w:r w:rsidR="006213CE">
        <w:t>e</w:t>
      </w:r>
      <w:r w:rsidR="006213CE" w:rsidRPr="0080393B">
        <w:t xml:space="preserve"> </w:t>
      </w:r>
      <w:r w:rsidR="008D5B85">
        <w:t>aktivnosti</w:t>
      </w:r>
      <w:r w:rsidR="0029659C" w:rsidRPr="0080393B">
        <w:t xml:space="preserve">: </w:t>
      </w:r>
    </w:p>
    <w:p w14:paraId="6717B237" w14:textId="4A131EE8" w:rsidR="0080393B" w:rsidRPr="00C84917" w:rsidRDefault="00B06943" w:rsidP="00055924">
      <w:pPr>
        <w:pStyle w:val="Odlomakpopisa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>Ulaganje u dogradnju skladišta medicinskih proizvoda te nabavu materijalne i nematerijalne imovine</w:t>
      </w:r>
      <w:r w:rsidR="00A90EE5" w:rsidRPr="00C84917">
        <w:rPr>
          <w:rFonts w:ascii="Calibri,Italic" w:hAnsi="Calibri,Italic" w:cs="Calibri,Italic"/>
          <w:b/>
          <w:bCs/>
        </w:rPr>
        <w:t>;</w:t>
      </w:r>
    </w:p>
    <w:p w14:paraId="21A2B284" w14:textId="3D584827" w:rsidR="0080393B" w:rsidRPr="00C84917" w:rsidRDefault="00B06943" w:rsidP="004411EE">
      <w:pPr>
        <w:pStyle w:val="Odlomakpopisa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  <w:bCs/>
        </w:rPr>
        <w:t>Inovacije procesa i organizacije poslovanja</w:t>
      </w:r>
      <w:r w:rsidR="00A90EE5" w:rsidRPr="00C84917">
        <w:rPr>
          <w:b/>
          <w:bCs/>
        </w:rPr>
        <w:t>;</w:t>
      </w:r>
    </w:p>
    <w:p w14:paraId="149FB1CF" w14:textId="226042CE" w:rsidR="00777AAC" w:rsidRPr="00C84917" w:rsidRDefault="00B06943" w:rsidP="004411EE">
      <w:pPr>
        <w:pStyle w:val="Odlomakpopisa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>Upravljanje projektom</w:t>
      </w:r>
      <w:r w:rsidR="00A90EE5" w:rsidRPr="00C84917">
        <w:rPr>
          <w:rFonts w:ascii="Calibri,Italic" w:hAnsi="Calibri,Italic" w:cs="Calibri,Italic"/>
          <w:b/>
          <w:bCs/>
        </w:rPr>
        <w:t>;</w:t>
      </w:r>
    </w:p>
    <w:p w14:paraId="3A2B37C8" w14:textId="55DEE53A" w:rsidR="001128AC" w:rsidRPr="00C84917" w:rsidRDefault="00B06943" w:rsidP="001128AC">
      <w:pPr>
        <w:pStyle w:val="Odlomakpopisa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rFonts w:ascii="Calibri,Italic" w:hAnsi="Calibri,Italic" w:cs="Calibri,Italic"/>
          <w:b/>
          <w:bCs/>
        </w:rPr>
        <w:t>Promidžba i vidljivost</w:t>
      </w:r>
      <w:r w:rsidR="00A90EE5" w:rsidRPr="00C84917">
        <w:rPr>
          <w:rFonts w:ascii="Calibri,Italic" w:hAnsi="Calibri,Italic" w:cs="Calibri,Italic"/>
          <w:b/>
          <w:bCs/>
        </w:rPr>
        <w:t>;</w:t>
      </w:r>
    </w:p>
    <w:p w14:paraId="65D40495" w14:textId="77777777" w:rsidR="00886EAC" w:rsidRPr="00777AAC" w:rsidRDefault="00886EAC" w:rsidP="00886EAC">
      <w:pPr>
        <w:pStyle w:val="Odlomakpopisa"/>
        <w:tabs>
          <w:tab w:val="left" w:pos="1701"/>
        </w:tabs>
        <w:spacing w:after="0"/>
        <w:ind w:left="993"/>
        <w:jc w:val="both"/>
        <w:rPr>
          <w:b/>
          <w:bCs/>
        </w:rPr>
      </w:pPr>
    </w:p>
    <w:p w14:paraId="24B78A76" w14:textId="3047A2EA" w:rsidR="00EF0E5E" w:rsidRDefault="00164C7B" w:rsidP="00025E38">
      <w:pPr>
        <w:spacing w:before="120" w:after="0"/>
        <w:jc w:val="both"/>
      </w:pPr>
      <w:r w:rsidRPr="003E17E9">
        <w:rPr>
          <w:b/>
        </w:rPr>
        <w:t xml:space="preserve">Cilj </w:t>
      </w:r>
      <w:r w:rsidR="00863B56" w:rsidRPr="003E17E9">
        <w:rPr>
          <w:b/>
        </w:rPr>
        <w:t>projekta</w:t>
      </w:r>
      <w:r w:rsidR="00A07AD3">
        <w:t xml:space="preserve"> je </w:t>
      </w:r>
      <w:r w:rsidR="00EF0E5E" w:rsidRPr="00EF0E5E">
        <w:t>dograđeno skladište medicinskih proizvoda</w:t>
      </w:r>
      <w:r w:rsidR="00EF0E5E">
        <w:t xml:space="preserve">, </w:t>
      </w:r>
      <w:r w:rsidR="00EF0E5E" w:rsidRPr="00EF0E5E">
        <w:t>kreiran</w:t>
      </w:r>
      <w:r w:rsidR="00EF0E5E">
        <w:t>i</w:t>
      </w:r>
      <w:r w:rsidR="00EF0E5E" w:rsidRPr="00EF0E5E">
        <w:t xml:space="preserve"> zatvoren</w:t>
      </w:r>
      <w:r w:rsidR="00EF0E5E">
        <w:t xml:space="preserve">i i sigurni laboratorijski sustav, </w:t>
      </w:r>
      <w:r w:rsidR="00EF0E5E" w:rsidRPr="00EF0E5E">
        <w:t xml:space="preserve">inoviran proces pročišćavanja etanola i </w:t>
      </w:r>
      <w:proofErr w:type="spellStart"/>
      <w:r w:rsidR="00EF0E5E" w:rsidRPr="00EF0E5E">
        <w:t>ksilena</w:t>
      </w:r>
      <w:proofErr w:type="spellEnd"/>
      <w:r w:rsidR="00EF0E5E">
        <w:t xml:space="preserve"> te </w:t>
      </w:r>
      <w:r w:rsidR="00EF0E5E" w:rsidRPr="00EF0E5E">
        <w:t>implementiran WMS sustav</w:t>
      </w:r>
      <w:r w:rsidR="00EF0E5E">
        <w:t>.</w:t>
      </w:r>
      <w:r w:rsidR="00EF0E5E" w:rsidRPr="00EF0E5E">
        <w:t xml:space="preserve"> </w:t>
      </w:r>
      <w:r w:rsidR="00EF0E5E">
        <w:t xml:space="preserve">Realizacija projekta </w:t>
      </w:r>
      <w:r w:rsidR="00EF0E5E" w:rsidRPr="00EF0E5E">
        <w:t>doprinijet će i ostvarenju općeg cilja – Zelenom, digitalnom i otpornom oporavku gospodarstva kroz poticanje kružnog gospodarstva i tehnološki napredne proizvodnje u medicinskoj dijagnostici.</w:t>
      </w:r>
    </w:p>
    <w:p w14:paraId="115DF7EF" w14:textId="77777777" w:rsidR="00E57DE6" w:rsidRPr="00E57DE6" w:rsidRDefault="00E57DE6" w:rsidP="00E57DE6">
      <w:pPr>
        <w:spacing w:before="120" w:after="0"/>
        <w:jc w:val="both"/>
      </w:pPr>
      <w:r w:rsidRPr="00E57DE6">
        <w:t>Postizanjem navedenog cilja, projekt izravno doprinosi ostvarenju sljedećih pokazatelja:</w:t>
      </w:r>
    </w:p>
    <w:p w14:paraId="5CFD4884" w14:textId="02B9D5A2" w:rsidR="00E57DE6" w:rsidRPr="00E57DE6" w:rsidRDefault="00E57DE6" w:rsidP="00E57DE6">
      <w:pPr>
        <w:pStyle w:val="Odlomakpopisa"/>
        <w:numPr>
          <w:ilvl w:val="0"/>
          <w:numId w:val="11"/>
        </w:numPr>
      </w:pPr>
      <w:r w:rsidRPr="00E57DE6">
        <w:t>Povećanje prihoda od prodaje</w:t>
      </w:r>
      <w:r w:rsidRPr="00E57DE6">
        <w:t>;</w:t>
      </w:r>
    </w:p>
    <w:p w14:paraId="7BD3CEBC" w14:textId="77777777" w:rsidR="00E57DE6" w:rsidRPr="00E57DE6" w:rsidRDefault="00E57DE6" w:rsidP="00E57DE6">
      <w:pPr>
        <w:pStyle w:val="Odlomakpopisa"/>
        <w:numPr>
          <w:ilvl w:val="0"/>
          <w:numId w:val="11"/>
        </w:numPr>
      </w:pPr>
      <w:r w:rsidRPr="00E57DE6">
        <w:t>Zapošljavanje novih djelatnika;</w:t>
      </w:r>
    </w:p>
    <w:p w14:paraId="07AEF9E3" w14:textId="5207CDD8" w:rsidR="00E57DE6" w:rsidRPr="00E57DE6" w:rsidRDefault="00E57DE6" w:rsidP="00E57DE6">
      <w:pPr>
        <w:pStyle w:val="Odlomakpopisa"/>
        <w:numPr>
          <w:ilvl w:val="0"/>
          <w:numId w:val="11"/>
        </w:numPr>
      </w:pPr>
      <w:r w:rsidRPr="00E57DE6">
        <w:t>Povećanje izvoza</w:t>
      </w:r>
      <w:r w:rsidRPr="00E57DE6">
        <w:t>.</w:t>
      </w:r>
    </w:p>
    <w:p w14:paraId="3A8BC25D" w14:textId="5F5313DA" w:rsidR="00F04943" w:rsidRDefault="00132AB0" w:rsidP="007B36D7">
      <w:pPr>
        <w:spacing w:before="240" w:after="0"/>
        <w:jc w:val="both"/>
        <w:rPr>
          <w:b/>
        </w:rPr>
      </w:pPr>
      <w:r w:rsidRPr="006F3964">
        <w:rPr>
          <w:b/>
        </w:rPr>
        <w:lastRenderedPageBreak/>
        <w:t>Projekt je s</w:t>
      </w:r>
      <w:bookmarkStart w:id="0" w:name="_GoBack"/>
      <w:bookmarkEnd w:id="0"/>
      <w:r w:rsidRPr="006F3964">
        <w:rPr>
          <w:b/>
        </w:rPr>
        <w:t xml:space="preserve">ufinancirala Europska unija iz </w:t>
      </w:r>
      <w:r w:rsidR="00F04943" w:rsidRPr="00F04943">
        <w:rPr>
          <w:b/>
        </w:rPr>
        <w:t>instrumenta Pomoć za oporavak za koheziju i europska područja „REACT-EU”</w:t>
      </w:r>
      <w:r w:rsidR="00F04943">
        <w:rPr>
          <w:b/>
        </w:rPr>
        <w:t xml:space="preserve"> </w:t>
      </w:r>
      <w:r w:rsidR="00F04943" w:rsidRPr="00F04943">
        <w:rPr>
          <w:b/>
        </w:rPr>
        <w:t>u okviru Operativnog programa Konkurentnost i kohezija 2014.-2020.</w:t>
      </w:r>
    </w:p>
    <w:p w14:paraId="112D7B3F" w14:textId="77777777" w:rsidR="00F04943" w:rsidRDefault="00F04943" w:rsidP="00FE7193">
      <w:pPr>
        <w:spacing w:after="0"/>
      </w:pPr>
    </w:p>
    <w:p w14:paraId="1C08A248" w14:textId="467096D1" w:rsidR="00FE7193" w:rsidRPr="006F3964" w:rsidRDefault="00FE7193" w:rsidP="00FE7193">
      <w:pPr>
        <w:spacing w:after="0"/>
      </w:pPr>
      <w:r w:rsidRPr="006F3964">
        <w:t>Više informacija na:</w:t>
      </w:r>
    </w:p>
    <w:p w14:paraId="12465397" w14:textId="2002FC4B" w:rsidR="00FE7193" w:rsidRPr="006F3964" w:rsidRDefault="008C0920" w:rsidP="00FE7193">
      <w:pPr>
        <w:spacing w:after="0"/>
        <w:rPr>
          <w:rStyle w:val="Hiperveza"/>
        </w:rPr>
      </w:pPr>
      <w:hyperlink r:id="rId11" w:history="1">
        <w:r w:rsidR="00FE7193" w:rsidRPr="006F3964">
          <w:rPr>
            <w:rStyle w:val="Hiperveza"/>
          </w:rPr>
          <w:t>www.strukturnifondovi.hr</w:t>
        </w:r>
      </w:hyperlink>
    </w:p>
    <w:p w14:paraId="2D9587F6" w14:textId="26D1A922" w:rsidR="00FE7193" w:rsidRPr="006F3964" w:rsidRDefault="008C0920" w:rsidP="00FE7193">
      <w:pPr>
        <w:spacing w:after="0"/>
      </w:pPr>
      <w:hyperlink r:id="rId12" w:history="1">
        <w:r w:rsidR="00FE7193" w:rsidRPr="006F3964">
          <w:rPr>
            <w:rStyle w:val="Hiperveza"/>
          </w:rPr>
          <w:t>https://strukturnifondovi.hr/vazni-dokumenti-operativni-program-konkurentnost-i-kohezija/</w:t>
        </w:r>
      </w:hyperlink>
    </w:p>
    <w:p w14:paraId="08C1CF8F" w14:textId="03F4EEB6" w:rsidR="00FE7193" w:rsidRPr="0075532C" w:rsidRDefault="00FE7193" w:rsidP="00633BB5">
      <w:pPr>
        <w:spacing w:before="240" w:after="0"/>
        <w:jc w:val="center"/>
        <w:rPr>
          <w:b/>
        </w:rPr>
      </w:pPr>
      <w:r w:rsidRPr="00225D22">
        <w:rPr>
          <w:i/>
          <w:iCs/>
        </w:rPr>
        <w:t xml:space="preserve">Sadržaj internetske stranice isključiva je odgovornost tvrtke </w:t>
      </w:r>
      <w:proofErr w:type="spellStart"/>
      <w:r w:rsidR="001128AC">
        <w:rPr>
          <w:i/>
          <w:iCs/>
        </w:rPr>
        <w:t>BioGnost</w:t>
      </w:r>
      <w:proofErr w:type="spellEnd"/>
      <w:r w:rsidRPr="00225D22">
        <w:rPr>
          <w:i/>
          <w:iCs/>
        </w:rPr>
        <w:t xml:space="preserve"> d.</w:t>
      </w:r>
      <w:r w:rsidR="0080393B" w:rsidRPr="00225D22">
        <w:rPr>
          <w:i/>
          <w:iCs/>
        </w:rPr>
        <w:t>o.o</w:t>
      </w:r>
      <w:r w:rsidRPr="00225D22">
        <w:rPr>
          <w:i/>
          <w:iCs/>
        </w:rPr>
        <w:t>.</w:t>
      </w:r>
    </w:p>
    <w:sectPr w:rsidR="00FE7193" w:rsidRPr="0075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9583" w14:textId="77777777" w:rsidR="008C0920" w:rsidRDefault="008C0920" w:rsidP="00F4798C">
      <w:pPr>
        <w:spacing w:after="0" w:line="240" w:lineRule="auto"/>
      </w:pPr>
      <w:r>
        <w:separator/>
      </w:r>
    </w:p>
  </w:endnote>
  <w:endnote w:type="continuationSeparator" w:id="0">
    <w:p w14:paraId="3D2E5A52" w14:textId="77777777" w:rsidR="008C0920" w:rsidRDefault="008C0920" w:rsidP="00F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C940" w14:textId="77777777" w:rsidR="008C0920" w:rsidRDefault="008C0920" w:rsidP="00F4798C">
      <w:pPr>
        <w:spacing w:after="0" w:line="240" w:lineRule="auto"/>
      </w:pPr>
      <w:r>
        <w:separator/>
      </w:r>
    </w:p>
  </w:footnote>
  <w:footnote w:type="continuationSeparator" w:id="0">
    <w:p w14:paraId="67B4159C" w14:textId="77777777" w:rsidR="008C0920" w:rsidRDefault="008C0920" w:rsidP="00F4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B12"/>
    <w:multiLevelType w:val="hybridMultilevel"/>
    <w:tmpl w:val="90D27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35A"/>
    <w:multiLevelType w:val="hybridMultilevel"/>
    <w:tmpl w:val="ACA49E8A"/>
    <w:lvl w:ilvl="0" w:tplc="3B0471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ACF"/>
    <w:multiLevelType w:val="hybridMultilevel"/>
    <w:tmpl w:val="2C869E16"/>
    <w:lvl w:ilvl="0" w:tplc="CCBCC326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816C3B"/>
    <w:multiLevelType w:val="hybridMultilevel"/>
    <w:tmpl w:val="3538F6F6"/>
    <w:lvl w:ilvl="0" w:tplc="DC789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635"/>
    <w:multiLevelType w:val="hybridMultilevel"/>
    <w:tmpl w:val="DD5E23D0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017D2A"/>
    <w:multiLevelType w:val="hybridMultilevel"/>
    <w:tmpl w:val="0020126C"/>
    <w:lvl w:ilvl="0" w:tplc="8CE4A8CA">
      <w:start w:val="1"/>
      <w:numFmt w:val="lowerRoman"/>
      <w:lvlText w:val="%1)"/>
      <w:lvlJc w:val="left"/>
      <w:pPr>
        <w:ind w:left="171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070929"/>
    <w:multiLevelType w:val="hybridMultilevel"/>
    <w:tmpl w:val="B86225B8"/>
    <w:lvl w:ilvl="0" w:tplc="6428E7E6">
      <w:start w:val="1"/>
      <w:numFmt w:val="decimal"/>
      <w:lvlText w:val="%1."/>
      <w:lvlJc w:val="left"/>
      <w:pPr>
        <w:ind w:left="1713" w:hanging="72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052"/>
    <w:multiLevelType w:val="hybridMultilevel"/>
    <w:tmpl w:val="9232E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4D96"/>
    <w:multiLevelType w:val="hybridMultilevel"/>
    <w:tmpl w:val="5D4CA7D0"/>
    <w:lvl w:ilvl="0" w:tplc="3B04714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A7247"/>
    <w:multiLevelType w:val="hybridMultilevel"/>
    <w:tmpl w:val="A426CB30"/>
    <w:lvl w:ilvl="0" w:tplc="6428E7E6">
      <w:start w:val="1"/>
      <w:numFmt w:val="decimal"/>
      <w:lvlText w:val="%1."/>
      <w:lvlJc w:val="left"/>
      <w:pPr>
        <w:ind w:left="1713" w:hanging="72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81B"/>
    <w:multiLevelType w:val="hybridMultilevel"/>
    <w:tmpl w:val="02D895AC"/>
    <w:lvl w:ilvl="0" w:tplc="6428E7E6">
      <w:start w:val="1"/>
      <w:numFmt w:val="decimal"/>
      <w:lvlText w:val="%1."/>
      <w:lvlJc w:val="left"/>
      <w:pPr>
        <w:ind w:left="1713" w:hanging="72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6336F5C"/>
    <w:multiLevelType w:val="hybridMultilevel"/>
    <w:tmpl w:val="FBCC6A3A"/>
    <w:lvl w:ilvl="0" w:tplc="5588D6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B3FE8"/>
    <w:multiLevelType w:val="hybridMultilevel"/>
    <w:tmpl w:val="EAF09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29E3"/>
    <w:multiLevelType w:val="hybridMultilevel"/>
    <w:tmpl w:val="3006DF6A"/>
    <w:lvl w:ilvl="0" w:tplc="3B04714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37"/>
    <w:rsid w:val="00010117"/>
    <w:rsid w:val="00025E38"/>
    <w:rsid w:val="000433C1"/>
    <w:rsid w:val="00066328"/>
    <w:rsid w:val="00071492"/>
    <w:rsid w:val="000717CB"/>
    <w:rsid w:val="000A4118"/>
    <w:rsid w:val="000A5FA4"/>
    <w:rsid w:val="000B5B03"/>
    <w:rsid w:val="000E03FB"/>
    <w:rsid w:val="000E1079"/>
    <w:rsid w:val="001128AC"/>
    <w:rsid w:val="00132AB0"/>
    <w:rsid w:val="00136927"/>
    <w:rsid w:val="001416C9"/>
    <w:rsid w:val="0014430C"/>
    <w:rsid w:val="00152C42"/>
    <w:rsid w:val="00164C7B"/>
    <w:rsid w:val="001706E6"/>
    <w:rsid w:val="00170C97"/>
    <w:rsid w:val="0017346E"/>
    <w:rsid w:val="001763A5"/>
    <w:rsid w:val="001E3077"/>
    <w:rsid w:val="00225D22"/>
    <w:rsid w:val="00241E0A"/>
    <w:rsid w:val="00296334"/>
    <w:rsid w:val="0029659C"/>
    <w:rsid w:val="002E410B"/>
    <w:rsid w:val="002E5B62"/>
    <w:rsid w:val="00323D37"/>
    <w:rsid w:val="003307CB"/>
    <w:rsid w:val="003838B0"/>
    <w:rsid w:val="003954B4"/>
    <w:rsid w:val="003A383A"/>
    <w:rsid w:val="003B5151"/>
    <w:rsid w:val="003B63DB"/>
    <w:rsid w:val="003E17E9"/>
    <w:rsid w:val="003E195D"/>
    <w:rsid w:val="003F6D52"/>
    <w:rsid w:val="00423BA7"/>
    <w:rsid w:val="00440D3D"/>
    <w:rsid w:val="004411EE"/>
    <w:rsid w:val="00450A32"/>
    <w:rsid w:val="00482B1E"/>
    <w:rsid w:val="00514CAE"/>
    <w:rsid w:val="0052117D"/>
    <w:rsid w:val="0052351E"/>
    <w:rsid w:val="00536FAE"/>
    <w:rsid w:val="0054292E"/>
    <w:rsid w:val="0057697F"/>
    <w:rsid w:val="00592637"/>
    <w:rsid w:val="00596B28"/>
    <w:rsid w:val="005B25AA"/>
    <w:rsid w:val="005C60B2"/>
    <w:rsid w:val="005E7650"/>
    <w:rsid w:val="005F2C1A"/>
    <w:rsid w:val="0061388D"/>
    <w:rsid w:val="006213CE"/>
    <w:rsid w:val="00625537"/>
    <w:rsid w:val="00633BB5"/>
    <w:rsid w:val="00634DA7"/>
    <w:rsid w:val="0064061B"/>
    <w:rsid w:val="006475CF"/>
    <w:rsid w:val="00661158"/>
    <w:rsid w:val="006A6434"/>
    <w:rsid w:val="006D5864"/>
    <w:rsid w:val="006F3964"/>
    <w:rsid w:val="00705C4F"/>
    <w:rsid w:val="00712CDC"/>
    <w:rsid w:val="00742623"/>
    <w:rsid w:val="00777AAC"/>
    <w:rsid w:val="007B36D7"/>
    <w:rsid w:val="0080393B"/>
    <w:rsid w:val="00804EA5"/>
    <w:rsid w:val="00807259"/>
    <w:rsid w:val="008115DA"/>
    <w:rsid w:val="008168AB"/>
    <w:rsid w:val="00863B56"/>
    <w:rsid w:val="008653FD"/>
    <w:rsid w:val="00880833"/>
    <w:rsid w:val="00881107"/>
    <w:rsid w:val="00886EAC"/>
    <w:rsid w:val="008B4FE9"/>
    <w:rsid w:val="008C0920"/>
    <w:rsid w:val="008D5B85"/>
    <w:rsid w:val="00922020"/>
    <w:rsid w:val="0099087F"/>
    <w:rsid w:val="009A1326"/>
    <w:rsid w:val="009B2876"/>
    <w:rsid w:val="009F4241"/>
    <w:rsid w:val="00A07AD3"/>
    <w:rsid w:val="00A17681"/>
    <w:rsid w:val="00A77497"/>
    <w:rsid w:val="00A805B1"/>
    <w:rsid w:val="00A8419E"/>
    <w:rsid w:val="00A90EE5"/>
    <w:rsid w:val="00AA54E0"/>
    <w:rsid w:val="00AC0CA5"/>
    <w:rsid w:val="00AE5583"/>
    <w:rsid w:val="00AF2403"/>
    <w:rsid w:val="00B06943"/>
    <w:rsid w:val="00B10B61"/>
    <w:rsid w:val="00B46893"/>
    <w:rsid w:val="00B65E6D"/>
    <w:rsid w:val="00B67F39"/>
    <w:rsid w:val="00B876DE"/>
    <w:rsid w:val="00BA7696"/>
    <w:rsid w:val="00BB7C12"/>
    <w:rsid w:val="00BF2CC8"/>
    <w:rsid w:val="00C0067D"/>
    <w:rsid w:val="00C17CC2"/>
    <w:rsid w:val="00C71E19"/>
    <w:rsid w:val="00C84917"/>
    <w:rsid w:val="00CA1EAF"/>
    <w:rsid w:val="00CB5C06"/>
    <w:rsid w:val="00CC0D5F"/>
    <w:rsid w:val="00CC2C72"/>
    <w:rsid w:val="00CE67C6"/>
    <w:rsid w:val="00D14C91"/>
    <w:rsid w:val="00D21E9A"/>
    <w:rsid w:val="00D31B68"/>
    <w:rsid w:val="00D56EC8"/>
    <w:rsid w:val="00D65164"/>
    <w:rsid w:val="00D70F9F"/>
    <w:rsid w:val="00DA24D4"/>
    <w:rsid w:val="00DC25D0"/>
    <w:rsid w:val="00E046B3"/>
    <w:rsid w:val="00E106F3"/>
    <w:rsid w:val="00E174FE"/>
    <w:rsid w:val="00E25ADE"/>
    <w:rsid w:val="00E31699"/>
    <w:rsid w:val="00E57DE6"/>
    <w:rsid w:val="00E67AA3"/>
    <w:rsid w:val="00E71B6B"/>
    <w:rsid w:val="00E85069"/>
    <w:rsid w:val="00E96A4F"/>
    <w:rsid w:val="00EC0D67"/>
    <w:rsid w:val="00EC25D6"/>
    <w:rsid w:val="00EF0E5E"/>
    <w:rsid w:val="00F04943"/>
    <w:rsid w:val="00F36677"/>
    <w:rsid w:val="00F4489C"/>
    <w:rsid w:val="00F4798C"/>
    <w:rsid w:val="00F50EAB"/>
    <w:rsid w:val="00FA485B"/>
    <w:rsid w:val="00FD0872"/>
    <w:rsid w:val="00FD79F2"/>
    <w:rsid w:val="00FD7A47"/>
    <w:rsid w:val="00FE7193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B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3D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138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E3077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E2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798C"/>
  </w:style>
  <w:style w:type="paragraph" w:styleId="Podnoje">
    <w:name w:val="footer"/>
    <w:basedOn w:val="Normal"/>
    <w:link w:val="PodnojeChar"/>
    <w:uiPriority w:val="99"/>
    <w:unhideWhenUsed/>
    <w:rsid w:val="00F4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798C"/>
  </w:style>
  <w:style w:type="character" w:customStyle="1" w:styleId="UnresolvedMention">
    <w:name w:val="Unresolved Mention"/>
    <w:basedOn w:val="Zadanifontodlomka"/>
    <w:uiPriority w:val="99"/>
    <w:semiHidden/>
    <w:unhideWhenUsed/>
    <w:rsid w:val="00DC25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3D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138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E3077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E2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798C"/>
  </w:style>
  <w:style w:type="paragraph" w:styleId="Podnoje">
    <w:name w:val="footer"/>
    <w:basedOn w:val="Normal"/>
    <w:link w:val="PodnojeChar"/>
    <w:uiPriority w:val="99"/>
    <w:unhideWhenUsed/>
    <w:rsid w:val="00F4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798C"/>
  </w:style>
  <w:style w:type="character" w:customStyle="1" w:styleId="UnresolvedMention">
    <w:name w:val="Unresolved Mention"/>
    <w:basedOn w:val="Zadanifontodlomka"/>
    <w:uiPriority w:val="99"/>
    <w:semiHidden/>
    <w:unhideWhenUsed/>
    <w:rsid w:val="00DC25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rukturnifondovi.hr/vazni-dokumenti-operativni-program-konkurentnost-i-kohez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Ivanković</dc:creator>
  <cp:keywords/>
  <dc:description/>
  <cp:lastModifiedBy>Dean Žugčić</cp:lastModifiedBy>
  <cp:revision>44</cp:revision>
  <dcterms:created xsi:type="dcterms:W3CDTF">2021-02-04T16:04:00Z</dcterms:created>
  <dcterms:modified xsi:type="dcterms:W3CDTF">2022-01-14T09:27:00Z</dcterms:modified>
</cp:coreProperties>
</file>